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875532"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875532"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875532"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875532"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875532"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875532"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 xml:space="preserve">the </w:t>
      </w:r>
      <w:proofErr w:type="gramStart"/>
      <w:r w:rsidR="00095D4A">
        <w:rPr>
          <w:bCs/>
          <w:lang w:eastAsia="en-GB"/>
        </w:rPr>
        <w:t>particular livestock</w:t>
      </w:r>
      <w:proofErr w:type="gramEnd"/>
      <w:r w:rsidR="00095D4A">
        <w:rPr>
          <w:bCs/>
          <w:lang w:eastAsia="en-GB"/>
        </w:rPr>
        <w:t xml:space="preserve">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proofErr w:type="gramStart"/>
      <w:r w:rsidR="009542A4" w:rsidRPr="00F53BAC">
        <w:rPr>
          <w:rFonts w:cstheme="minorHAnsi"/>
        </w:rPr>
        <w:t xml:space="preserve">0.00934 </w:t>
      </w:r>
      <w:r w:rsidR="00E42912" w:rsidRPr="00F53BAC">
        <w:rPr>
          <w:rFonts w:cstheme="minorHAnsi"/>
          <w:i/>
          <w:iCs/>
        </w:rPr>
        <w:t xml:space="preserve"> g</w:t>
      </w:r>
      <w:proofErr w:type="gramEnd"/>
      <w:r w:rsidR="00E42912" w:rsidRPr="00F53BAC">
        <w:rPr>
          <w:rFonts w:cstheme="minorHAnsi"/>
          <w:i/>
          <w:iCs/>
        </w:rPr>
        <w:t>/PCU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w:t>
      </w:r>
      <w:proofErr w:type="spellStart"/>
      <w:r w:rsidR="00E42912" w:rsidRPr="00F53BAC">
        <w:rPr>
          <w:rFonts w:cstheme="minorHAnsi"/>
        </w:rPr>
        <w:t>pCU</w:t>
      </w:r>
      <w:proofErr w:type="spellEnd"/>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xml:space="preserve">. This is </w:t>
      </w:r>
      <w:proofErr w:type="gramStart"/>
      <w:r w:rsidRPr="000F0834">
        <w:rPr>
          <w:rFonts w:cstheme="minorHAnsi"/>
        </w:rPr>
        <w:t>similar to</w:t>
      </w:r>
      <w:proofErr w:type="gramEnd"/>
      <w:r w:rsidRPr="000F0834">
        <w:rPr>
          <w:rFonts w:cstheme="minorHAnsi"/>
        </w:rPr>
        <w:t xml:space="preserve">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 xml:space="preserve">A linear regression was condcted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w:t>
      </w:r>
      <w:r>
        <w:rPr>
          <w:b/>
          <w:lang w:eastAsia="en-GB"/>
        </w:rPr>
        <w:t>2</w:t>
      </w:r>
      <w:r>
        <w:rPr>
          <w:b/>
          <w:lang w:eastAsia="en-GB"/>
        </w:rPr>
        <w:t>.</w:t>
      </w:r>
      <w:r w:rsidRPr="008A7045">
        <w:rPr>
          <w:b/>
          <w:lang w:eastAsia="en-GB"/>
        </w:rPr>
        <w:t xml:space="preserve"> </w:t>
      </w:r>
      <w:r w:rsidR="00001603">
        <w:rPr>
          <w:b/>
          <w:lang w:eastAsia="en-GB"/>
        </w:rPr>
        <w:t>Linear regression of model case study data</w:t>
      </w:r>
      <w:proofErr w:type="gramStart"/>
      <w:r w:rsidR="00001603">
        <w:rPr>
          <w:b/>
          <w:lang w:eastAsia="en-GB"/>
        </w:rPr>
        <w:t xml:space="preserve">. </w:t>
      </w:r>
      <w:r w:rsidRPr="008A7045">
        <w:rPr>
          <w:b/>
          <w:lang w:eastAsia="en-GB"/>
        </w:rPr>
        <w:t xml:space="preserve"> </w:t>
      </w:r>
      <w:proofErr w:type="gramEnd"/>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F95626" w:rsidRPr="005E1628" w14:paraId="403F281B" w14:textId="77777777" w:rsidTr="00984AA9">
        <w:trPr>
          <w:cnfStyle w:val="100000000000" w:firstRow="1" w:lastRow="0" w:firstColumn="0" w:lastColumn="0" w:oddVBand="0" w:evenVBand="0" w:oddHBand="0" w:evenHBand="0" w:firstRowFirstColumn="0" w:firstRowLastColumn="0" w:lastRowFirstColumn="0" w:lastRowLastColumn="0"/>
          <w:trHeight w:val="72"/>
        </w:trPr>
        <w:tc>
          <w:tcPr>
            <w:tcW w:w="2372" w:type="dxa"/>
            <w:hideMark/>
          </w:tcPr>
          <w:p w14:paraId="0A1D4AAB" w14:textId="7A66B2F8" w:rsidR="00F95626" w:rsidRPr="005E1628" w:rsidRDefault="00F95626" w:rsidP="00F95626">
            <w:pPr>
              <w:spacing w:line="276" w:lineRule="auto"/>
              <w:jc w:val="center"/>
              <w:rPr>
                <w:rFonts w:eastAsia="Times New Roman" w:cstheme="minorHAnsi"/>
                <w:sz w:val="20"/>
                <w:szCs w:val="20"/>
                <w:lang w:eastAsia="en-GB"/>
              </w:rPr>
            </w:pPr>
            <w:r>
              <w:rPr>
                <w:bCs w:val="0"/>
                <w:lang w:eastAsia="en-GB"/>
              </w:rPr>
              <w:t>Variable</w:t>
            </w:r>
          </w:p>
        </w:tc>
        <w:tc>
          <w:tcPr>
            <w:tcW w:w="1451" w:type="dxa"/>
            <w:hideMark/>
          </w:tcPr>
          <w:p w14:paraId="20C649D4" w14:textId="6689B735" w:rsidR="00F95626" w:rsidRPr="005E1628" w:rsidRDefault="00F956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 xml:space="preserve">Ampicillin Resistance in Broiler Poultry </w:t>
            </w:r>
          </w:p>
        </w:tc>
        <w:tc>
          <w:tcPr>
            <w:tcW w:w="1559" w:type="dxa"/>
            <w:hideMark/>
          </w:tcPr>
          <w:p w14:paraId="720B1D55" w14:textId="314D6B1E" w:rsidR="00F95626" w:rsidRPr="005E1628" w:rsidRDefault="00F956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Tetracycline</w:t>
            </w:r>
            <w:r>
              <w:rPr>
                <w:rFonts w:eastAsia="Times New Roman" w:cstheme="minorHAnsi"/>
                <w:sz w:val="20"/>
                <w:szCs w:val="20"/>
                <w:lang w:eastAsia="en-GB"/>
              </w:rPr>
              <w:t xml:space="preserve"> Resistance in Broiler Poultry </w:t>
            </w:r>
          </w:p>
        </w:tc>
        <w:tc>
          <w:tcPr>
            <w:tcW w:w="1417" w:type="dxa"/>
          </w:tcPr>
          <w:p w14:paraId="2F71457C" w14:textId="43A0552B" w:rsidR="00F95626" w:rsidRPr="005E1628" w:rsidRDefault="00F95626" w:rsidP="00F95626">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sz w:val="20"/>
                <w:szCs w:val="20"/>
                <w:lang w:eastAsia="en-GB"/>
              </w:rPr>
              <w:t>Ampicillin Resistance in Fattening Pigs</w:t>
            </w:r>
          </w:p>
        </w:tc>
        <w:tc>
          <w:tcPr>
            <w:tcW w:w="1418" w:type="dxa"/>
          </w:tcPr>
          <w:p w14:paraId="27836669" w14:textId="72888487" w:rsidR="00F95626" w:rsidRPr="005E1628" w:rsidRDefault="00F95626" w:rsidP="00F95626">
            <w:pPr>
              <w:spacing w:line="276" w:lineRule="auto"/>
              <w:jc w:val="center"/>
              <w:rPr>
                <w:rFonts w:eastAsia="Times New Roman" w:cstheme="minorHAnsi"/>
                <w:color w:val="FFFFFF" w:themeColor="light1"/>
                <w:kern w:val="24"/>
                <w:sz w:val="20"/>
                <w:szCs w:val="20"/>
                <w:lang w:eastAsia="en-GB"/>
              </w:rPr>
            </w:pPr>
            <w:r>
              <w:rPr>
                <w:rFonts w:eastAsia="Times New Roman" w:cstheme="minorHAnsi"/>
                <w:sz w:val="20"/>
                <w:szCs w:val="20"/>
                <w:lang w:eastAsia="en-GB"/>
              </w:rPr>
              <w:t>Tetracycline</w:t>
            </w:r>
            <w:r>
              <w:rPr>
                <w:rFonts w:eastAsia="Times New Roman" w:cstheme="minorHAnsi"/>
                <w:sz w:val="20"/>
                <w:szCs w:val="20"/>
                <w:lang w:eastAsia="en-GB"/>
              </w:rPr>
              <w:t xml:space="preserve"> Resistance in Fattening Pigs</w:t>
            </w:r>
          </w:p>
        </w:tc>
      </w:tr>
      <w:tr w:rsidR="00984AA9" w:rsidRPr="005E1628" w14:paraId="772D927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51F25DD6" w14:textId="12923AAE"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trHeight w:val="23"/>
        </w:trPr>
        <w:tc>
          <w:tcPr>
            <w:tcW w:w="2372" w:type="dxa"/>
          </w:tcPr>
          <w:p w14:paraId="2A59CA69" w14:textId="1C6C199D"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0.0128</w:t>
            </w:r>
            <w:r w:rsidRPr="00984AA9">
              <w:rPr>
                <w:bCs/>
                <w:lang w:eastAsia="en-GB"/>
              </w:rPr>
              <w:t xml:space="preserve">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37419201" w:rsidR="00E15838" w:rsidRPr="00001603" w:rsidRDefault="00387BFB" w:rsidP="001D5C8D">
      <w:pPr>
        <w:spacing w:after="0" w:line="360" w:lineRule="auto"/>
        <w:jc w:val="both"/>
        <w:rPr>
          <w:bCs/>
          <w:noProof/>
          <w:sz w:val="18"/>
          <w:szCs w:val="18"/>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54845D1" w14:textId="77777777" w:rsidR="00233D0F" w:rsidRDefault="00233D0F" w:rsidP="00233D0F">
      <w:pPr>
        <w:pStyle w:val="NoSpacing"/>
        <w:spacing w:line="360" w:lineRule="auto"/>
        <w:jc w:val="both"/>
        <w:rPr>
          <w:rFonts w:cstheme="minorHAnsi"/>
        </w:rPr>
      </w:pPr>
      <w:r w:rsidRPr="005D6A84">
        <w:rPr>
          <w:rFonts w:cstheme="minorHAnsi"/>
          <w:noProof/>
          <w:lang w:eastAsia="en-GB"/>
        </w:rPr>
        <w:lastRenderedPageBreak/>
        <w:drawing>
          <wp:inline distT="0" distB="0" distL="0" distR="0" wp14:anchorId="56A86175" wp14:editId="14AFA797">
            <wp:extent cx="5731510" cy="5188452"/>
            <wp:effectExtent l="0" t="0" r="254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188452"/>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lastRenderedPageBreak/>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875532"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particles for each model in the last generation. This represents the model with the highest posterior </w:t>
      </w:r>
      <w:r w:rsidR="0046027D">
        <w:rPr>
          <w:rFonts w:eastAsiaTheme="minorEastAsia"/>
          <w:noProof/>
          <w:lang w:eastAsia="en-GB"/>
        </w:rPr>
        <w:lastRenderedPageBreak/>
        <w:t xml:space="preserve">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70558E2F" w:rsidR="00DE08AA"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31CC047D"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3</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61E2A5FD"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09C8388B" w:rsidR="008A7045" w:rsidRPr="00400F43" w:rsidRDefault="00400F43" w:rsidP="00410929">
      <w:pPr>
        <w:pStyle w:val="NoSpacing"/>
        <w:rPr>
          <w:b/>
          <w:bCs/>
          <w:highlight w:val="yellow"/>
          <w:u w:val="single"/>
        </w:rPr>
      </w:pPr>
      <w:proofErr w:type="gramStart"/>
      <w:r w:rsidRPr="00400F43">
        <w:rPr>
          <w:b/>
          <w:bCs/>
          <w:highlight w:val="yellow"/>
          <w:u w:val="single"/>
        </w:rPr>
        <w:t>DO  A</w:t>
      </w:r>
      <w:proofErr w:type="gramEnd"/>
      <w:r w:rsidRPr="00400F43">
        <w:rPr>
          <w:b/>
          <w:bCs/>
          <w:highlight w:val="yellow"/>
          <w:u w:val="single"/>
        </w:rPr>
        <w:t xml:space="preserve"> TABLE</w:t>
      </w:r>
    </w:p>
    <w:p w14:paraId="1A7316C8" w14:textId="4C3DA796" w:rsidR="003519CA" w:rsidRPr="00400F43" w:rsidRDefault="003519CA" w:rsidP="00410929">
      <w:pPr>
        <w:pStyle w:val="NoSpacing"/>
        <w:rPr>
          <w:b/>
          <w:bCs/>
          <w:highlight w:val="yellow"/>
          <w:u w:val="single"/>
        </w:rPr>
      </w:pPr>
    </w:p>
    <w:p w14:paraId="3BD43B96" w14:textId="77777777" w:rsidR="00400F43" w:rsidRPr="00D67AE7" w:rsidRDefault="00400F43" w:rsidP="00400F43">
      <w:pPr>
        <w:pStyle w:val="NoSpacing"/>
        <w:spacing w:line="360" w:lineRule="auto"/>
        <w:jc w:val="both"/>
        <w:rPr>
          <w:rFonts w:cstheme="minorHAnsi"/>
        </w:rPr>
      </w:pPr>
      <w:r w:rsidRPr="00400F43">
        <w:rPr>
          <w:rFonts w:cstheme="minorHAnsi"/>
          <w:highlight w:val="yellow"/>
        </w:rPr>
        <w:t>Using the fitted parameter values, the overall EU averaged daily incidence of human salmonellosis and the daily proportion of antibiotic-resistant human salmonellosis (I</w:t>
      </w:r>
      <w:r w:rsidRPr="00400F43">
        <w:rPr>
          <w:rFonts w:cstheme="minorHAnsi"/>
          <w:highlight w:val="yellow"/>
          <w:vertAlign w:val="superscript"/>
        </w:rPr>
        <w:t>*</w:t>
      </w:r>
      <w:r w:rsidRPr="00400F43">
        <w:rPr>
          <w:rFonts w:cstheme="minorHAnsi"/>
          <w:highlight w:val="yellow"/>
          <w:vertAlign w:val="subscript"/>
        </w:rPr>
        <w:t>RHProp</w:t>
      </w:r>
      <w:r w:rsidRPr="00400F43">
        <w:rPr>
          <w:rFonts w:cstheme="minorHAnsi"/>
          <w:highlight w:val="yellow"/>
        </w:rPr>
        <w:t xml:space="preserve">) was modelled at: 0.595 per 100,000 population and 0.301 for the ampicillin-resistant human salmonellosis from the broiler poultry case study at baseline ampicillin usage (τ = </w:t>
      </w:r>
      <w:r w:rsidRPr="00400F43">
        <w:rPr>
          <w:bCs/>
          <w:highlight w:val="yellow"/>
        </w:rPr>
        <w:t>0.0049 g/PCU</w:t>
      </w:r>
      <w:r w:rsidRPr="00400F43">
        <w:rPr>
          <w:rFonts w:cstheme="minorHAnsi"/>
          <w:highlight w:val="yellow"/>
        </w:rPr>
        <w:t xml:space="preserve">). 0.600 per 100,000 population and 0.356 for the tetracycline-resistant human salmonellosis from the broiler poultry case study at baseline tetracycline usage (τ = </w:t>
      </w:r>
      <w:r w:rsidRPr="00400F43">
        <w:rPr>
          <w:bCs/>
          <w:highlight w:val="yellow"/>
        </w:rPr>
        <w:t xml:space="preserve">0.0069 </w:t>
      </w:r>
      <w:r w:rsidRPr="00400F43">
        <w:rPr>
          <w:rFonts w:cstheme="minorHAnsi"/>
          <w:highlight w:val="yellow"/>
        </w:rPr>
        <w:t xml:space="preserve">g/PCU). 0.598 per 100,000 population and 0.349 for the ampicillin-resistant human salmonellosis from the fattening pigs case study at baseline ampicillin </w:t>
      </w:r>
      <w:r w:rsidRPr="00400F43">
        <w:rPr>
          <w:rFonts w:cstheme="minorHAnsi"/>
          <w:highlight w:val="yellow"/>
        </w:rPr>
        <w:lastRenderedPageBreak/>
        <w:t xml:space="preserve">usage (τ = </w:t>
      </w:r>
      <w:r w:rsidRPr="00400F43">
        <w:rPr>
          <w:bCs/>
          <w:highlight w:val="yellow"/>
        </w:rPr>
        <w:t xml:space="preserve">0.0125 </w:t>
      </w:r>
      <w:r w:rsidRPr="00400F43">
        <w:rPr>
          <w:rFonts w:cstheme="minorHAnsi"/>
          <w:highlight w:val="yellow"/>
        </w:rPr>
        <w:t xml:space="preserve">g/PCU). 0.601 per 100,000 population and 0.342 for the tetracycline-resistant human salmonellosis from the fattening pigs case study at baseline tetracycline usage (τ = </w:t>
      </w:r>
      <w:r w:rsidRPr="00400F43">
        <w:rPr>
          <w:bCs/>
          <w:highlight w:val="yellow"/>
        </w:rPr>
        <w:t xml:space="preserve">0.01305 </w:t>
      </w:r>
      <w:r w:rsidRPr="00400F43">
        <w:rPr>
          <w:rFonts w:cstheme="minorHAnsi"/>
          <w:highlight w:val="yellow"/>
        </w:rPr>
        <w:t>g/PCU) (Figure 4).</w:t>
      </w:r>
      <w:r w:rsidRPr="00D67AE7">
        <w:rPr>
          <w:rFonts w:cstheme="minorHAnsi"/>
        </w:rPr>
        <w:t xml:space="preserve"> </w:t>
      </w: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081ACD96"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4A80F8F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104BF8CF" w:rsidR="003968E4" w:rsidRPr="000225E6" w:rsidRDefault="003968E4" w:rsidP="003E1C91">
      <w:pPr>
        <w:pStyle w:val="NoSpacing"/>
        <w:spacing w:line="360" w:lineRule="auto"/>
        <w:jc w:val="both"/>
        <w:rPr>
          <w:rFonts w:cstheme="minorHAnsi"/>
          <w:bCs/>
        </w:rPr>
      </w:pPr>
      <w:r w:rsidRPr="00AA7344">
        <w:rPr>
          <w:rFonts w:cstheme="minorHAnsi"/>
          <w:b/>
          <w:bCs/>
          <w:highlight w:val="yellow"/>
        </w:rPr>
        <w:t>Figure S</w:t>
      </w:r>
      <w:r w:rsidR="003C2011" w:rsidRPr="00AA7344">
        <w:rPr>
          <w:rFonts w:cstheme="minorHAnsi"/>
          <w:b/>
          <w:bCs/>
          <w:highlight w:val="yellow"/>
        </w:rPr>
        <w:t>1</w:t>
      </w:r>
      <w:r w:rsidR="0022078F">
        <w:rPr>
          <w:rFonts w:cstheme="minorHAnsi"/>
          <w:b/>
          <w:bCs/>
        </w:rPr>
        <w:t>6</w:t>
      </w:r>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125AF565" w:rsidR="003968E4" w:rsidRDefault="003968E4" w:rsidP="003E1C91">
      <w:pPr>
        <w:pStyle w:val="NoSpacing"/>
        <w:spacing w:line="360" w:lineRule="auto"/>
        <w:jc w:val="both"/>
        <w:rPr>
          <w:rFonts w:cstheme="minorHAnsi"/>
        </w:rPr>
      </w:pPr>
    </w:p>
    <w:p w14:paraId="4684D96A" w14:textId="71959A69" w:rsidR="0022078F" w:rsidRDefault="0022078F" w:rsidP="003E1C91">
      <w:pPr>
        <w:pStyle w:val="NoSpacing"/>
        <w:spacing w:line="360" w:lineRule="auto"/>
        <w:jc w:val="both"/>
        <w:rPr>
          <w:rFonts w:cstheme="minorHAnsi"/>
        </w:rPr>
      </w:pPr>
    </w:p>
    <w:p w14:paraId="1351A55C" w14:textId="3E416D99" w:rsidR="0022078F" w:rsidRDefault="0022078F" w:rsidP="003E1C91">
      <w:pPr>
        <w:pStyle w:val="NoSpacing"/>
        <w:spacing w:line="360" w:lineRule="auto"/>
        <w:jc w:val="both"/>
        <w:rPr>
          <w:rFonts w:cstheme="minorHAnsi"/>
        </w:rPr>
      </w:pPr>
    </w:p>
    <w:p w14:paraId="6F1662BE" w14:textId="77777777" w:rsidR="0022078F" w:rsidRDefault="0022078F" w:rsidP="003E1C91">
      <w:pPr>
        <w:pStyle w:val="NoSpacing"/>
        <w:spacing w:line="360" w:lineRule="auto"/>
        <w:jc w:val="both"/>
        <w:rPr>
          <w:rFonts w:cstheme="minorHAnsi"/>
        </w:rPr>
      </w:pPr>
    </w:p>
    <w:p w14:paraId="25D8B5BE" w14:textId="4C5ED44B" w:rsidR="008A3E11" w:rsidRDefault="008974F1" w:rsidP="003E1C91">
      <w:pPr>
        <w:pStyle w:val="NoSpacing"/>
        <w:spacing w:line="360" w:lineRule="auto"/>
        <w:jc w:val="both"/>
        <w:rPr>
          <w:rFonts w:cstheme="minorHAnsi"/>
        </w:rPr>
      </w:pPr>
      <w:r>
        <w:rPr>
          <w:noProof/>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13BE8B4" w:rsidR="0022078F" w:rsidRPr="00D67AE7" w:rsidRDefault="0022078F" w:rsidP="0022078F">
      <w:pPr>
        <w:pStyle w:val="NoSpacing"/>
        <w:spacing w:line="360" w:lineRule="auto"/>
        <w:jc w:val="both"/>
        <w:rPr>
          <w:rFonts w:cstheme="minorHAnsi"/>
          <w:b/>
        </w:rPr>
      </w:pPr>
      <w:bookmarkStart w:id="2" w:name="_Hlk55379253"/>
      <w:r w:rsidRPr="00D67AE7">
        <w:rPr>
          <w:rFonts w:cstheme="minorHAnsi"/>
          <w:b/>
        </w:rPr>
        <w:t xml:space="preserve">Figure </w:t>
      </w:r>
      <w:r>
        <w:rPr>
          <w:rFonts w:cstheme="minorHAnsi"/>
          <w:b/>
        </w:rPr>
        <w:t>S17</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w:t>
      </w:r>
      <w:r>
        <w:rPr>
          <w:rFonts w:cstheme="minorHAnsi"/>
          <w:b/>
        </w:rPr>
        <w:t xml:space="preserve"> </w:t>
      </w:r>
      <w:r>
        <w:rPr>
          <w:rFonts w:cstheme="minorHAnsi"/>
          <w:b/>
        </w:rPr>
        <w:t>r</w:t>
      </w:r>
      <w:r>
        <w:rPr>
          <w:rFonts w:cstheme="minorHAnsi"/>
          <w:b/>
        </w:rPr>
        <w:t xml:space="preserve">elative change in </w:t>
      </w:r>
      <w:r>
        <w:rPr>
          <w:rFonts w:cstheme="minorHAnsi"/>
          <w:b/>
        </w:rPr>
        <w:t xml:space="preserve">the </w:t>
      </w:r>
      <w:r w:rsidRPr="00927353">
        <w:rPr>
          <w:rFonts w:cstheme="minorHAnsi"/>
          <w:b/>
        </w:rPr>
        <w:t>proportion of resistant human infection (</w:t>
      </w:r>
      <w:r>
        <w:rPr>
          <w:rFonts w:cstheme="minorHAnsi"/>
          <w:b/>
        </w:rPr>
        <w:t>I</w:t>
      </w:r>
      <w:r w:rsidRPr="00C03920">
        <w:rPr>
          <w:rFonts w:cstheme="minorHAnsi"/>
          <w:b/>
          <w:vertAlign w:val="superscript"/>
        </w:rPr>
        <w:t>*</w:t>
      </w:r>
      <w:r w:rsidRPr="00C03920">
        <w:rPr>
          <w:rFonts w:cstheme="minorHAnsi"/>
          <w:b/>
          <w:vertAlign w:val="subscript"/>
        </w:rPr>
        <w:t>RHProp</w:t>
      </w:r>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2"/>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5"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6"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7" w:history="1">
        <w:r w:rsidRPr="00F44740">
          <w:rPr>
            <w:rStyle w:val="Hyperlink"/>
          </w:rPr>
          <w:t>https://ourworldindata.org/life-expectancy</w:t>
        </w:r>
      </w:hyperlink>
      <w:r w:rsidRPr="00F44740">
        <w:t>.</w:t>
      </w:r>
    </w:p>
    <w:p w14:paraId="4973E8D4" w14:textId="2066031C"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57A65" w14:textId="77777777" w:rsidR="00875532" w:rsidRDefault="00875532" w:rsidP="00E4519F">
      <w:pPr>
        <w:spacing w:after="0" w:line="240" w:lineRule="auto"/>
      </w:pPr>
      <w:r>
        <w:separator/>
      </w:r>
    </w:p>
  </w:endnote>
  <w:endnote w:type="continuationSeparator" w:id="0">
    <w:p w14:paraId="7DD8E64D" w14:textId="77777777" w:rsidR="00875532" w:rsidRDefault="00875532"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DEB12" w14:textId="77777777" w:rsidR="00875532" w:rsidRDefault="00875532" w:rsidP="00E4519F">
      <w:pPr>
        <w:spacing w:after="0" w:line="240" w:lineRule="auto"/>
      </w:pPr>
      <w:r>
        <w:separator/>
      </w:r>
    </w:p>
  </w:footnote>
  <w:footnote w:type="continuationSeparator" w:id="0">
    <w:p w14:paraId="494CA412" w14:textId="77777777" w:rsidR="00875532" w:rsidRDefault="00875532"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57B87"/>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5838"/>
    <w:rsid w:val="00E1613D"/>
    <w:rsid w:val="00E20EF8"/>
    <w:rsid w:val="00E33518"/>
    <w:rsid w:val="00E34316"/>
    <w:rsid w:val="00E42912"/>
    <w:rsid w:val="00E4519F"/>
    <w:rsid w:val="00E64A22"/>
    <w:rsid w:val="00E65D4D"/>
    <w:rsid w:val="00E66B90"/>
    <w:rsid w:val="00E86DEA"/>
    <w:rsid w:val="00E96662"/>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ho.int/news-room/fact-sheets/detail/salmonella-(non-typhoida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c.europa.eu/eurostat/statistics-explained/index.php?title=Population_and_population_change_statisti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urworldindata.org/life-expecta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D2372-7CC4-4B81-8B52-F1DF675C1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16098</TotalTime>
  <Pages>31</Pages>
  <Words>8665</Words>
  <Characters>49394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Alex Morgan</cp:lastModifiedBy>
  <cp:revision>3</cp:revision>
  <cp:lastPrinted>2020-03-13T13:54:00Z</cp:lastPrinted>
  <dcterms:created xsi:type="dcterms:W3CDTF">2021-04-15T15:03:00Z</dcterms:created>
  <dcterms:modified xsi:type="dcterms:W3CDTF">2021-11-22T23:12:00Z</dcterms:modified>
</cp:coreProperties>
</file>